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7EC40B5"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8452E2">
        <w:rPr>
          <w:rFonts w:ascii="Arial" w:hAnsi="Arial" w:cs="Arial"/>
          <w:b/>
          <w:sz w:val="22"/>
          <w:szCs w:val="24"/>
        </w:rPr>
        <w:t>6</w:t>
      </w:r>
      <w:r w:rsidR="00CE5F5F" w:rsidRPr="009E704E">
        <w:rPr>
          <w:rFonts w:ascii="Arial" w:hAnsi="Arial" w:cs="Arial"/>
          <w:b/>
          <w:sz w:val="22"/>
          <w:szCs w:val="24"/>
        </w:rPr>
        <w:tab/>
      </w:r>
      <w:r w:rsidR="003F41C1">
        <w:rPr>
          <w:rFonts w:ascii="Arial" w:hAnsi="Arial" w:cs="Arial"/>
          <w:b/>
          <w:sz w:val="22"/>
          <w:szCs w:val="24"/>
        </w:rPr>
        <w:t>R1-</w:t>
      </w:r>
      <w:r w:rsidR="005E4BCD" w:rsidRPr="005E4BCD">
        <w:rPr>
          <w:rFonts w:ascii="Arial" w:hAnsi="Arial" w:cs="Arial"/>
          <w:b/>
          <w:sz w:val="22"/>
          <w:szCs w:val="24"/>
        </w:rPr>
        <w:t>1903408</w:t>
      </w:r>
    </w:p>
    <w:p w14:paraId="1DBE0C1E" w14:textId="413278E4" w:rsidR="00BC335A" w:rsidRPr="009E704E" w:rsidRDefault="008452E2" w:rsidP="00BC335A">
      <w:pPr>
        <w:pStyle w:val="Footer"/>
        <w:jc w:val="both"/>
        <w:rPr>
          <w:rFonts w:cs="Arial"/>
          <w:i w:val="0"/>
          <w:noProof w:val="0"/>
          <w:sz w:val="22"/>
          <w:szCs w:val="24"/>
        </w:rPr>
      </w:pPr>
      <w:r>
        <w:rPr>
          <w:rFonts w:cs="Arial"/>
          <w:i w:val="0"/>
          <w:noProof w:val="0"/>
          <w:sz w:val="22"/>
          <w:szCs w:val="24"/>
        </w:rPr>
        <w:t>February</w:t>
      </w:r>
      <w:r w:rsidR="0061297E" w:rsidRPr="009E704E">
        <w:rPr>
          <w:rFonts w:cs="Arial"/>
          <w:i w:val="0"/>
          <w:noProof w:val="0"/>
          <w:sz w:val="22"/>
          <w:szCs w:val="24"/>
        </w:rPr>
        <w:t xml:space="preserve"> </w:t>
      </w:r>
      <w:r w:rsidR="007630FE">
        <w:rPr>
          <w:rFonts w:cs="Arial"/>
          <w:i w:val="0"/>
          <w:noProof w:val="0"/>
          <w:sz w:val="22"/>
          <w:szCs w:val="24"/>
        </w:rPr>
        <w:t>25</w:t>
      </w:r>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2671F4">
        <w:rPr>
          <w:rFonts w:cs="Arial"/>
          <w:i w:val="0"/>
          <w:noProof w:val="0"/>
          <w:sz w:val="22"/>
          <w:szCs w:val="24"/>
        </w:rPr>
        <w:t xml:space="preserve"> </w:t>
      </w:r>
      <w:r w:rsidR="007630FE">
        <w:rPr>
          <w:rFonts w:cs="Arial"/>
          <w:i w:val="0"/>
          <w:noProof w:val="0"/>
          <w:sz w:val="22"/>
          <w:szCs w:val="24"/>
        </w:rPr>
        <w:t xml:space="preserve">March </w:t>
      </w:r>
      <w:r w:rsidR="00B071BE">
        <w:rPr>
          <w:rFonts w:cs="Arial"/>
          <w:i w:val="0"/>
          <w:noProof w:val="0"/>
          <w:sz w:val="22"/>
          <w:szCs w:val="24"/>
        </w:rPr>
        <w:t>1</w:t>
      </w:r>
      <w:r w:rsidR="007630FE">
        <w:rPr>
          <w:rFonts w:cs="Arial"/>
          <w:i w:val="0"/>
          <w:noProof w:val="0"/>
          <w:sz w:val="22"/>
          <w:szCs w:val="24"/>
          <w:vertAlign w:val="superscript"/>
        </w:rPr>
        <w:t>st</w:t>
      </w:r>
      <w:r w:rsidR="00BC335A" w:rsidRPr="009E704E">
        <w:rPr>
          <w:rFonts w:cs="Arial"/>
          <w:i w:val="0"/>
          <w:noProof w:val="0"/>
          <w:sz w:val="22"/>
          <w:szCs w:val="24"/>
        </w:rPr>
        <w:t xml:space="preserve"> 201</w:t>
      </w:r>
      <w:r>
        <w:rPr>
          <w:rFonts w:cs="Arial"/>
          <w:i w:val="0"/>
          <w:noProof w:val="0"/>
          <w:sz w:val="22"/>
          <w:szCs w:val="24"/>
        </w:rPr>
        <w:t>9</w:t>
      </w:r>
    </w:p>
    <w:p w14:paraId="2F2D8718" w14:textId="5EEDFF2E" w:rsidR="00CE5F5F" w:rsidRDefault="007630FE" w:rsidP="00BC335A">
      <w:pPr>
        <w:pStyle w:val="Footer"/>
        <w:jc w:val="both"/>
        <w:rPr>
          <w:rFonts w:cs="Arial"/>
          <w:i w:val="0"/>
          <w:noProof w:val="0"/>
          <w:sz w:val="22"/>
          <w:szCs w:val="24"/>
        </w:rPr>
      </w:pPr>
      <w:r>
        <w:rPr>
          <w:rFonts w:cs="Arial"/>
          <w:i w:val="0"/>
          <w:noProof w:val="0"/>
          <w:sz w:val="22"/>
          <w:szCs w:val="24"/>
        </w:rPr>
        <w:t>Athens</w:t>
      </w:r>
      <w:r w:rsidR="00BC335A" w:rsidRPr="009E704E">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6B63682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w:t>
      </w:r>
      <w:bookmarkStart w:id="1" w:name="_GoBack"/>
      <w:bookmarkEnd w:id="1"/>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BA1CD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7630FE">
        <w:rPr>
          <w:rFonts w:ascii="Arial" w:hAnsi="Arial"/>
          <w:sz w:val="22"/>
        </w:rPr>
        <w:t xml:space="preserve">CRs on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1ECEF558" w14:textId="2727F339" w:rsidR="00E14316" w:rsidRDefault="00390BCA" w:rsidP="00390BCA">
      <w:r>
        <w:t>T</w:t>
      </w:r>
      <w:r w:rsidR="00532F59">
        <w:t xml:space="preserve">he following </w:t>
      </w:r>
      <w:r w:rsidR="00EB415A">
        <w:t>CRs</w:t>
      </w:r>
      <w:r w:rsidR="00532F59">
        <w:t xml:space="preserve"> [1-</w:t>
      </w:r>
      <w:r w:rsidR="00160FC6">
        <w:t>6</w:t>
      </w:r>
      <w:r w:rsidR="000E27BB">
        <w:t>,8</w:t>
      </w:r>
      <w:r>
        <w:t>] to RAN</w:t>
      </w:r>
      <w:r w:rsidR="00911988">
        <w:t>1</w:t>
      </w:r>
      <w:r w:rsidR="007630FE">
        <w:t xml:space="preserve"> #96</w:t>
      </w:r>
      <w:r w:rsidR="00E14316">
        <w:t xml:space="preserve"> </w:t>
      </w:r>
      <w:r w:rsidR="00D931B1">
        <w:t xml:space="preserve">are </w:t>
      </w:r>
      <w:r w:rsidR="00E14316">
        <w:t xml:space="preserve">related to DL/UL data scheduling and HARQ procedures. In particular, these aspects are discussed </w:t>
      </w:r>
      <w:r w:rsidR="00911988">
        <w:t>below</w:t>
      </w:r>
      <w:r w:rsidR="00DD45B0">
        <w:t>.</w:t>
      </w:r>
    </w:p>
    <w:p w14:paraId="485A539F" w14:textId="6A83E8C2" w:rsidR="00F944C1" w:rsidRDefault="00F944C1" w:rsidP="00E14316">
      <w:pPr>
        <w:pStyle w:val="ListParagraph"/>
        <w:numPr>
          <w:ilvl w:val="0"/>
          <w:numId w:val="45"/>
        </w:numPr>
      </w:pPr>
      <w:r>
        <w:t>Out-of-order PUSCH and PDSCH</w:t>
      </w:r>
      <w:r w:rsidR="00E22ED5">
        <w:t xml:space="preserve"> and overlap</w:t>
      </w:r>
    </w:p>
    <w:p w14:paraId="1988E4B8" w14:textId="50D6D3C0" w:rsidR="00DB1D24" w:rsidRDefault="00DB1D24" w:rsidP="00E14316">
      <w:pPr>
        <w:pStyle w:val="ListParagraph"/>
        <w:numPr>
          <w:ilvl w:val="0"/>
          <w:numId w:val="45"/>
        </w:numPr>
      </w:pPr>
      <w:r>
        <w:t>Pre-emption of ULGF and UE processing time</w:t>
      </w:r>
    </w:p>
    <w:p w14:paraId="247495DE" w14:textId="77777777" w:rsidR="00050073" w:rsidRDefault="00050073" w:rsidP="00050073">
      <w:pPr>
        <w:pStyle w:val="ListParagraph"/>
        <w:numPr>
          <w:ilvl w:val="0"/>
          <w:numId w:val="45"/>
        </w:numPr>
      </w:pPr>
      <w:r>
        <w:t>Out-of-order PUSCH with A-CSI and no UL-SCH</w:t>
      </w:r>
    </w:p>
    <w:p w14:paraId="5C863A39" w14:textId="72958CDB" w:rsidR="00050073" w:rsidRDefault="00050073" w:rsidP="00050073">
      <w:pPr>
        <w:pStyle w:val="ListParagraph"/>
        <w:numPr>
          <w:ilvl w:val="0"/>
          <w:numId w:val="45"/>
        </w:numPr>
      </w:pPr>
      <w:r>
        <w:t>Rx-to-Tx switching time for half duplex</w:t>
      </w:r>
    </w:p>
    <w:p w14:paraId="59A4174D" w14:textId="116F6E4D" w:rsidR="006A3DA8" w:rsidRDefault="006A3DA8" w:rsidP="007E5B78"/>
    <w:p w14:paraId="7AE732C5" w14:textId="638F3AC5" w:rsidR="00911988" w:rsidRDefault="00911988" w:rsidP="007E5B78">
      <w:r>
        <w:t>Recommendations are provided for final CRs to be adopted in RAN1 #96.</w:t>
      </w:r>
    </w:p>
    <w:p w14:paraId="4C17A3B3" w14:textId="77777777" w:rsidR="005976D0" w:rsidRDefault="005976D0" w:rsidP="005976D0">
      <w:pPr>
        <w:pStyle w:val="Heading1"/>
      </w:pPr>
      <w:r w:rsidRPr="009947A1">
        <w:t>Out-of-order PUSCH</w:t>
      </w:r>
      <w:r>
        <w:t xml:space="preserve"> and PDSCH and Symbol Overlap</w:t>
      </w:r>
    </w:p>
    <w:p w14:paraId="41EFE644" w14:textId="229E8CB3" w:rsidR="005976D0" w:rsidRDefault="005976D0" w:rsidP="005976D0">
      <w:pPr>
        <w:rPr>
          <w:lang w:val="en-GB"/>
        </w:rPr>
      </w:pPr>
      <w:r>
        <w:rPr>
          <w:lang w:val="en-GB"/>
        </w:rPr>
        <w:t xml:space="preserve">Rel-15 </w:t>
      </w:r>
      <w:r w:rsidR="00911988">
        <w:rPr>
          <w:lang w:val="en-GB"/>
        </w:rPr>
        <w:t>agreements on</w:t>
      </w:r>
      <w:r>
        <w:rPr>
          <w:lang w:val="en-GB"/>
        </w:rPr>
        <w:t xml:space="preserve"> UE capabilities have precluded any possibility of time-domain overlap between any two unicast PUSCH transmitted by a UE (respectively, any two unicast PDSCH received by a UE)</w:t>
      </w:r>
      <w:r w:rsidR="00911988">
        <w:rPr>
          <w:lang w:val="en-GB"/>
        </w:rPr>
        <w:t xml:space="preserve">, as indicated in </w:t>
      </w:r>
      <w:r w:rsidR="00660494">
        <w:rPr>
          <w:lang w:val="en-GB"/>
        </w:rPr>
        <w:t xml:space="preserve">FG </w:t>
      </w:r>
      <w:r w:rsidR="00911988">
        <w:rPr>
          <w:lang w:val="en-GB"/>
        </w:rPr>
        <w:t>5-11/11a/11b, 5-12/12a/12b, and 5-13/13a/13b/13c/13d/13e in [7]</w:t>
      </w:r>
      <w:r>
        <w:rPr>
          <w:lang w:val="en-GB"/>
        </w:rPr>
        <w:t xml:space="preserve">. Moreover, the Rel-15 agreements have always maintained an ordering on scheduling so that the ordering of the grants is consistent with the ordering of the data transmissions. However, </w:t>
      </w:r>
      <w:r w:rsidR="00334CD4">
        <w:rPr>
          <w:lang w:val="en-GB"/>
        </w:rPr>
        <w:t xml:space="preserve">in </w:t>
      </w:r>
      <w:r>
        <w:rPr>
          <w:lang w:val="en-GB"/>
        </w:rPr>
        <w:t>a recent text CR from RAN1 #95 with the intent to carefully revise and reflect both of these agreements</w:t>
      </w:r>
      <w:r w:rsidR="00334CD4">
        <w:rPr>
          <w:lang w:val="en-GB"/>
        </w:rPr>
        <w:t xml:space="preserve"> accurately,</w:t>
      </w:r>
      <w:r>
        <w:rPr>
          <w:lang w:val="en-GB"/>
        </w:rPr>
        <w:t xml:space="preserve"> resulted in two corner cases which are not intended by previous agreements, as highlighted in CRs from [</w:t>
      </w:r>
      <w:r w:rsidR="0096003A">
        <w:rPr>
          <w:lang w:val="en-GB"/>
        </w:rPr>
        <w:t>1</w:t>
      </w:r>
      <w:r>
        <w:rPr>
          <w:lang w:val="en-GB"/>
        </w:rPr>
        <w:t xml:space="preserve">, </w:t>
      </w:r>
      <w:r w:rsidRPr="00E624F9">
        <w:rPr>
          <w:lang w:val="en-GB"/>
        </w:rPr>
        <w:t>R1-1901624</w:t>
      </w:r>
      <w:r>
        <w:rPr>
          <w:lang w:val="en-GB"/>
        </w:rPr>
        <w:t>] and [</w:t>
      </w:r>
      <w:r w:rsidR="0096003A">
        <w:rPr>
          <w:lang w:val="en-GB"/>
        </w:rPr>
        <w:t>2</w:t>
      </w:r>
      <w:r>
        <w:rPr>
          <w:lang w:val="en-GB"/>
        </w:rPr>
        <w:t xml:space="preserve">, </w:t>
      </w:r>
      <w:r w:rsidRPr="00912D73">
        <w:rPr>
          <w:lang w:val="en-GB"/>
        </w:rPr>
        <w:t>R1-1901976</w:t>
      </w:r>
      <w:r>
        <w:rPr>
          <w:lang w:val="en-GB"/>
        </w:rPr>
        <w:t>]. This is best illustrated from the figures in [</w:t>
      </w:r>
      <w:r w:rsidR="00614E91">
        <w:rPr>
          <w:lang w:val="en-GB"/>
        </w:rPr>
        <w:t>2</w:t>
      </w:r>
      <w:r>
        <w:rPr>
          <w:lang w:val="en-GB"/>
        </w:rPr>
        <w:t>] below.</w:t>
      </w:r>
    </w:p>
    <w:p w14:paraId="2B61892F" w14:textId="77777777" w:rsidR="005976D0" w:rsidRDefault="005976D0" w:rsidP="005976D0"/>
    <w:p w14:paraId="57D898AE" w14:textId="77777777" w:rsidR="005976D0" w:rsidRDefault="005976D0" w:rsidP="005976D0">
      <w:pPr>
        <w:jc w:val="center"/>
      </w:pPr>
      <w:r w:rsidRPr="00BF25E6">
        <w:object w:dxaOrig="4420" w:dyaOrig="2521" w14:anchorId="65E6A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102pt" o:ole="">
            <v:imagedata r:id="rId12" o:title=""/>
          </v:shape>
          <o:OLEObject Type="Embed" ProgID="Visio.Drawing.11" ShapeID="_x0000_i1025" DrawAspect="Content" ObjectID="_1612557569" r:id="rId13"/>
        </w:object>
      </w:r>
    </w:p>
    <w:p w14:paraId="2B66256D" w14:textId="3E4EAA45" w:rsidR="005976D0" w:rsidRDefault="005976D0" w:rsidP="005976D0">
      <w:pPr>
        <w:jc w:val="center"/>
        <w:rPr>
          <w:b/>
          <w:lang w:val="en-GB"/>
        </w:rPr>
      </w:pPr>
      <w:r w:rsidRPr="0055010B">
        <w:rPr>
          <w:b/>
          <w:lang w:val="en-GB"/>
        </w:rPr>
        <w:t xml:space="preserve">Figure 1. TDM overlap allowed under current 38.214 (15.4.0) specification which is </w:t>
      </w:r>
      <w:r>
        <w:rPr>
          <w:b/>
          <w:lang w:val="en-GB"/>
        </w:rPr>
        <w:br/>
      </w:r>
      <w:r w:rsidRPr="0055010B">
        <w:rPr>
          <w:b/>
          <w:lang w:val="en-GB"/>
        </w:rPr>
        <w:t>inconsistent with agreements as well as previous version of 38.214 specification</w:t>
      </w:r>
      <w:r w:rsidR="0096003A">
        <w:rPr>
          <w:b/>
          <w:lang w:val="en-GB"/>
        </w:rPr>
        <w:t xml:space="preserve"> (</w:t>
      </w:r>
      <w:r w:rsidR="00334CD4">
        <w:rPr>
          <w:b/>
          <w:lang w:val="en-GB"/>
        </w:rPr>
        <w:t xml:space="preserve">Figure taken </w:t>
      </w:r>
      <w:r w:rsidR="0096003A">
        <w:rPr>
          <w:b/>
          <w:lang w:val="en-GB"/>
        </w:rPr>
        <w:t>from [</w:t>
      </w:r>
      <w:r w:rsidR="00614E91">
        <w:rPr>
          <w:b/>
          <w:lang w:val="en-GB"/>
        </w:rPr>
        <w:t>2</w:t>
      </w:r>
      <w:r w:rsidR="0096003A">
        <w:rPr>
          <w:b/>
          <w:lang w:val="en-GB"/>
        </w:rPr>
        <w:t>]).</w:t>
      </w:r>
    </w:p>
    <w:p w14:paraId="08B694C0" w14:textId="77777777" w:rsidR="005976D0" w:rsidRPr="0055010B" w:rsidRDefault="005976D0" w:rsidP="005976D0">
      <w:pPr>
        <w:jc w:val="center"/>
        <w:rPr>
          <w:b/>
          <w:lang w:val="en-GB"/>
        </w:rPr>
      </w:pPr>
    </w:p>
    <w:p w14:paraId="5F754E88" w14:textId="77777777" w:rsidR="005976D0" w:rsidRDefault="005976D0" w:rsidP="005976D0">
      <w:pPr>
        <w:jc w:val="center"/>
        <w:rPr>
          <w:lang w:val="en-GB"/>
        </w:rPr>
      </w:pPr>
      <w:r w:rsidRPr="00BF25E6">
        <w:object w:dxaOrig="4590" w:dyaOrig="1671" w14:anchorId="5C0BCF2C">
          <v:shape id="_x0000_i1026" type="#_x0000_t75" style="width:229.5pt;height:83.25pt" o:ole="">
            <v:imagedata r:id="rId14" o:title=""/>
          </v:shape>
          <o:OLEObject Type="Embed" ProgID="Visio.Drawing.11" ShapeID="_x0000_i1026" DrawAspect="Content" ObjectID="_1612557570" r:id="rId15"/>
        </w:object>
      </w:r>
    </w:p>
    <w:p w14:paraId="3252ADDE" w14:textId="714D2FA9" w:rsidR="005976D0" w:rsidRPr="0055010B" w:rsidRDefault="005976D0" w:rsidP="005976D0">
      <w:pPr>
        <w:jc w:val="center"/>
        <w:rPr>
          <w:b/>
          <w:lang w:val="en-GB"/>
        </w:rPr>
      </w:pPr>
      <w:r w:rsidRPr="0055010B">
        <w:rPr>
          <w:b/>
          <w:lang w:val="en-GB"/>
        </w:rPr>
        <w:t xml:space="preserve">Figure </w:t>
      </w:r>
      <w:r>
        <w:rPr>
          <w:b/>
          <w:lang w:val="en-GB"/>
        </w:rPr>
        <w:t>2</w:t>
      </w:r>
      <w:r w:rsidRPr="0055010B">
        <w:rPr>
          <w:b/>
          <w:lang w:val="en-GB"/>
        </w:rPr>
        <w:t xml:space="preserve">. </w:t>
      </w:r>
      <w:r>
        <w:rPr>
          <w:b/>
          <w:lang w:val="en-GB"/>
        </w:rPr>
        <w:t xml:space="preserve">Two DCI scheduling Two PUSCH (or respectively PDSCH) from </w:t>
      </w:r>
      <w:r>
        <w:rPr>
          <w:b/>
          <w:lang w:val="en-GB"/>
        </w:rPr>
        <w:br/>
        <w:t>same PDCCH monitoring occasion which is precluded from specification</w:t>
      </w:r>
      <w:r w:rsidR="0096003A">
        <w:rPr>
          <w:b/>
          <w:lang w:val="en-GB"/>
        </w:rPr>
        <w:t xml:space="preserve"> (</w:t>
      </w:r>
      <w:r w:rsidR="00334CD4">
        <w:rPr>
          <w:b/>
          <w:lang w:val="en-GB"/>
        </w:rPr>
        <w:t xml:space="preserve">Figure taken </w:t>
      </w:r>
      <w:r w:rsidR="0096003A">
        <w:rPr>
          <w:b/>
          <w:lang w:val="en-GB"/>
        </w:rPr>
        <w:t>from [2]).</w:t>
      </w:r>
    </w:p>
    <w:p w14:paraId="28E4FE28" w14:textId="77777777" w:rsidR="005976D0" w:rsidRDefault="005976D0" w:rsidP="005976D0"/>
    <w:p w14:paraId="73F71C92" w14:textId="77777777" w:rsidR="005976D0" w:rsidRDefault="005976D0" w:rsidP="005976D0">
      <w:r w:rsidRPr="00504665">
        <w:t>It is important that the behavior in Figure 1 is precluded, since this is critical to UE implementation and consistent with previous agreements</w:t>
      </w:r>
      <w:r>
        <w:t xml:space="preserve"> in UE capabilities. </w:t>
      </w:r>
    </w:p>
    <w:p w14:paraId="44CF2DEE" w14:textId="5B3FED25" w:rsidR="00684A94" w:rsidRDefault="005976D0" w:rsidP="005976D0">
      <w:r w:rsidRPr="00FC78D3">
        <w:t xml:space="preserve">Regarding Figure 2, </w:t>
      </w:r>
      <w:r>
        <w:t xml:space="preserve">it is </w:t>
      </w:r>
      <w:r w:rsidR="00334CD4">
        <w:t xml:space="preserve">a </w:t>
      </w:r>
      <w:r>
        <w:t xml:space="preserve">mandatory UE capability </w:t>
      </w:r>
      <w:r w:rsidR="00684A94">
        <w:t>(FG 3-1</w:t>
      </w:r>
      <w:r w:rsidR="001578C7">
        <w:t xml:space="preserve"> from [7]</w:t>
      </w:r>
      <w:r w:rsidR="00684A94">
        <w:t xml:space="preserve">) </w:t>
      </w:r>
      <w:r>
        <w:t xml:space="preserve">to support 2 uplink grants from one PDCCH monitoring occasion since this is a critical flexibility needed for scheduling on </w:t>
      </w:r>
      <w:r w:rsidR="00684A94">
        <w:t xml:space="preserve">a </w:t>
      </w:r>
      <w:r>
        <w:t xml:space="preserve">TDD </w:t>
      </w:r>
      <w:r w:rsidR="007D6624">
        <w:t xml:space="preserve">carrier with </w:t>
      </w:r>
      <w:r>
        <w:t>a larger ratio of uplink to downlink</w:t>
      </w:r>
      <w:r w:rsidR="007D6624">
        <w:t xml:space="preserve"> slots</w:t>
      </w:r>
      <w:r>
        <w:t>.</w:t>
      </w:r>
      <w:r w:rsidR="00684A94">
        <w:t xml:space="preserve"> Therefore, </w:t>
      </w:r>
      <w:r w:rsidR="004F498E">
        <w:t xml:space="preserve">a </w:t>
      </w:r>
      <w:r w:rsidR="00684A94">
        <w:t xml:space="preserve">CR should be </w:t>
      </w:r>
      <w:r w:rsidR="00100DA8">
        <w:t>adopted</w:t>
      </w:r>
      <w:r w:rsidR="00684A94">
        <w:t xml:space="preserve"> to allow the following behavior.</w:t>
      </w:r>
    </w:p>
    <w:p w14:paraId="51326FFF" w14:textId="2538E846" w:rsidR="00684A94" w:rsidRDefault="005976D0" w:rsidP="00684A94">
      <w:pPr>
        <w:jc w:val="center"/>
        <w:rPr>
          <w:lang w:val="en-GB"/>
        </w:rPr>
      </w:pPr>
      <w:bookmarkStart w:id="2" w:name="_Hlk1754653"/>
      <w:r>
        <w:t xml:space="preserve"> </w:t>
      </w:r>
      <w:r w:rsidR="00CC67A9" w:rsidRPr="00BF25E6">
        <w:object w:dxaOrig="4591" w:dyaOrig="1671" w14:anchorId="1AD0A40E">
          <v:shape id="_x0000_i1027" type="#_x0000_t75" style="width:284.25pt;height:103.5pt" o:ole="">
            <v:imagedata r:id="rId16" o:title=""/>
          </v:shape>
          <o:OLEObject Type="Embed" ProgID="Visio.Drawing.11" ShapeID="_x0000_i1027" DrawAspect="Content" ObjectID="_1612557571" r:id="rId17"/>
        </w:object>
      </w:r>
    </w:p>
    <w:p w14:paraId="6A0FF749" w14:textId="3F98D5BE" w:rsidR="005976D0" w:rsidRPr="00684A94" w:rsidRDefault="00684A94" w:rsidP="00684A94">
      <w:pPr>
        <w:jc w:val="center"/>
        <w:rPr>
          <w:b/>
          <w:lang w:val="en-GB"/>
        </w:rPr>
      </w:pPr>
      <w:r w:rsidRPr="0055010B">
        <w:rPr>
          <w:b/>
          <w:lang w:val="en-GB"/>
        </w:rPr>
        <w:t xml:space="preserve">Figure </w:t>
      </w:r>
      <w:r>
        <w:rPr>
          <w:b/>
          <w:lang w:val="en-GB"/>
        </w:rPr>
        <w:t>3</w:t>
      </w:r>
      <w:r w:rsidRPr="0055010B">
        <w:rPr>
          <w:b/>
          <w:lang w:val="en-GB"/>
        </w:rPr>
        <w:t xml:space="preserve">. </w:t>
      </w:r>
      <w:r>
        <w:rPr>
          <w:b/>
          <w:lang w:val="en-GB"/>
        </w:rPr>
        <w:t xml:space="preserve">Scheduling which should be allowed for mandatory UE capability </w:t>
      </w:r>
      <w:r w:rsidR="00660494">
        <w:rPr>
          <w:b/>
          <w:lang w:val="en-GB"/>
        </w:rPr>
        <w:t xml:space="preserve">(FG 3-1) </w:t>
      </w:r>
      <w:r w:rsidR="00BF359D">
        <w:rPr>
          <w:b/>
          <w:lang w:val="en-GB"/>
        </w:rPr>
        <w:t>by CR to 38.214</w:t>
      </w:r>
    </w:p>
    <w:bookmarkEnd w:id="2"/>
    <w:p w14:paraId="1048F37E" w14:textId="1379AC1F" w:rsidR="00100DA8" w:rsidRDefault="005976D0" w:rsidP="005976D0">
      <w:r>
        <w:t xml:space="preserve">For optional UE capability of 2 downlink grants from one PDCCH monitoring occasion </w:t>
      </w:r>
      <w:r w:rsidR="00B66288">
        <w:t xml:space="preserve">(FG 3-5b from [7]) </w:t>
      </w:r>
      <w:r w:rsidR="00100DA8">
        <w:t>which is also associated with multiple monitoring occasions per slot</w:t>
      </w:r>
      <w:r>
        <w:t xml:space="preserve">, it </w:t>
      </w:r>
      <w:r w:rsidR="00100DA8">
        <w:t xml:space="preserve">seems less critical to provide </w:t>
      </w:r>
      <w:r w:rsidR="00CA5C3C">
        <w:t xml:space="preserve">a similar </w:t>
      </w:r>
      <w:r w:rsidR="00100DA8">
        <w:t xml:space="preserve">CR since the specification still allows scheduling of </w:t>
      </w:r>
      <w:r w:rsidR="0028664F">
        <w:t xml:space="preserve">two PDSCH from one monitoring occasion in a manner </w:t>
      </w:r>
      <w:r w:rsidR="003C7718">
        <w:t xml:space="preserve">optimized for </w:t>
      </w:r>
      <w:r w:rsidR="0028664F">
        <w:t>low latency</w:t>
      </w:r>
      <w:r w:rsidR="00FD6749">
        <w:t xml:space="preserve"> and/or multi-beam scheduling</w:t>
      </w:r>
      <w:r w:rsidR="003C7718">
        <w:t>, which is in line with the purpose of the capability already.</w:t>
      </w:r>
      <w:r w:rsidR="00660494">
        <w:t xml:space="preserve"> See Figure 4 below illustrating this point.</w:t>
      </w:r>
    </w:p>
    <w:p w14:paraId="1F1E935A" w14:textId="6D1C6619" w:rsidR="001C0EE0" w:rsidRDefault="00CC67A9" w:rsidP="001C0EE0">
      <w:pPr>
        <w:jc w:val="center"/>
        <w:rPr>
          <w:lang w:val="en-GB"/>
        </w:rPr>
      </w:pPr>
      <w:r w:rsidRPr="00BF25E6">
        <w:object w:dxaOrig="2959" w:dyaOrig="2647" w14:anchorId="4444D14F">
          <v:shape id="_x0000_i1028" type="#_x0000_t75" style="width:209.25pt;height:186.75pt" o:ole="">
            <v:imagedata r:id="rId18" o:title=""/>
          </v:shape>
          <o:OLEObject Type="Embed" ProgID="Visio.Drawing.11" ShapeID="_x0000_i1028" DrawAspect="Content" ObjectID="_1612557572" r:id="rId19"/>
        </w:object>
      </w:r>
    </w:p>
    <w:p w14:paraId="73079A64" w14:textId="233933BC" w:rsidR="001C0EE0" w:rsidRPr="00684A94" w:rsidRDefault="001C0EE0" w:rsidP="001C0EE0">
      <w:pPr>
        <w:jc w:val="center"/>
        <w:rPr>
          <w:b/>
          <w:lang w:val="en-GB"/>
        </w:rPr>
      </w:pPr>
      <w:r w:rsidRPr="0055010B">
        <w:rPr>
          <w:b/>
          <w:lang w:val="en-GB"/>
        </w:rPr>
        <w:t xml:space="preserve">Figure </w:t>
      </w:r>
      <w:r w:rsidR="00617287">
        <w:rPr>
          <w:b/>
          <w:lang w:val="en-GB"/>
        </w:rPr>
        <w:t>4</w:t>
      </w:r>
      <w:r w:rsidRPr="0055010B">
        <w:rPr>
          <w:b/>
          <w:lang w:val="en-GB"/>
        </w:rPr>
        <w:t xml:space="preserve">. </w:t>
      </w:r>
      <w:r>
        <w:rPr>
          <w:b/>
          <w:lang w:val="en-GB"/>
        </w:rPr>
        <w:t xml:space="preserve">Scheduling currently allowed </w:t>
      </w:r>
      <w:r w:rsidR="00660494">
        <w:rPr>
          <w:b/>
          <w:lang w:val="en-GB"/>
        </w:rPr>
        <w:t xml:space="preserve">in 38.214 </w:t>
      </w:r>
      <w:r>
        <w:rPr>
          <w:b/>
          <w:lang w:val="en-GB"/>
        </w:rPr>
        <w:t>for optional UE capability</w:t>
      </w:r>
      <w:r w:rsidR="00660494">
        <w:rPr>
          <w:b/>
          <w:lang w:val="en-GB"/>
        </w:rPr>
        <w:t xml:space="preserve"> (FG 3-5b)</w:t>
      </w:r>
    </w:p>
    <w:p w14:paraId="56E64654" w14:textId="0D693421" w:rsidR="005976D0" w:rsidRPr="007604D5" w:rsidRDefault="005976D0" w:rsidP="003947D7">
      <w:pPr>
        <w:pStyle w:val="3GPPNormalText"/>
        <w:jc w:val="left"/>
        <w:rPr>
          <w:b/>
          <w:i/>
          <w:color w:val="FF0000"/>
        </w:rPr>
      </w:pPr>
      <w:r w:rsidRPr="008B6C41">
        <w:rPr>
          <w:b/>
          <w:highlight w:val="yellow"/>
          <w:u w:val="single"/>
        </w:rPr>
        <w:t>Proposal:</w:t>
      </w:r>
      <w:r w:rsidRPr="00EA32F7">
        <w:t xml:space="preserve"> </w:t>
      </w:r>
      <w:r w:rsidR="00CC67A9">
        <w:t xml:space="preserve">To address the issues raised in </w:t>
      </w:r>
      <w:r w:rsidR="00CC67A9">
        <w:rPr>
          <w:i/>
        </w:rPr>
        <w:t>CR</w:t>
      </w:r>
      <w:r w:rsidR="00CC67A9" w:rsidRPr="000474F1">
        <w:rPr>
          <w:i/>
        </w:rPr>
        <w:t>s</w:t>
      </w:r>
      <w:r w:rsidRPr="000474F1">
        <w:rPr>
          <w:i/>
        </w:rPr>
        <w:t xml:space="preserve"> [</w:t>
      </w:r>
      <w:r w:rsidR="000474F1" w:rsidRPr="000474F1">
        <w:rPr>
          <w:i/>
          <w:lang w:val="en-GB"/>
        </w:rPr>
        <w:t>1, R1-1901624</w:t>
      </w:r>
      <w:r w:rsidRPr="000474F1">
        <w:rPr>
          <w:i/>
        </w:rPr>
        <w:t>] and [</w:t>
      </w:r>
      <w:r w:rsidR="000474F1" w:rsidRPr="000474F1">
        <w:rPr>
          <w:i/>
          <w:lang w:val="en-GB"/>
        </w:rPr>
        <w:t>2, R1-1901976</w:t>
      </w:r>
      <w:r w:rsidRPr="000474F1">
        <w:rPr>
          <w:i/>
        </w:rPr>
        <w:t>]</w:t>
      </w:r>
      <w:r w:rsidR="00CC67A9" w:rsidRPr="000474F1">
        <w:rPr>
          <w:i/>
        </w:rPr>
        <w:t>,</w:t>
      </w:r>
      <w:r w:rsidR="00CC67A9">
        <w:rPr>
          <w:i/>
        </w:rPr>
        <w:t xml:space="preserve"> adopt </w:t>
      </w:r>
      <w:r w:rsidR="00736295">
        <w:rPr>
          <w:i/>
        </w:rPr>
        <w:t>‘</w:t>
      </w:r>
      <w:r w:rsidR="00CC67A9">
        <w:rPr>
          <w:i/>
        </w:rPr>
        <w:t>Draft CR1</w:t>
      </w:r>
      <w:r w:rsidR="00736295">
        <w:rPr>
          <w:i/>
        </w:rPr>
        <w:t>’</w:t>
      </w:r>
      <w:r w:rsidR="002305BF">
        <w:rPr>
          <w:i/>
        </w:rPr>
        <w:t xml:space="preserve"> to preclude overlapping in time between any two PUSCH (or respectively any two PDSCH), as well as allow for two DCI </w:t>
      </w:r>
      <w:r w:rsidR="00627CDD">
        <w:rPr>
          <w:i/>
        </w:rPr>
        <w:t xml:space="preserve">in the same monitoring occasion </w:t>
      </w:r>
      <w:r w:rsidR="002305BF">
        <w:rPr>
          <w:i/>
        </w:rPr>
        <w:t>to schedule two PUSCH</w:t>
      </w:r>
      <w:r w:rsidR="00B95984">
        <w:rPr>
          <w:i/>
        </w:rPr>
        <w:t xml:space="preserve"> in some cases where DCI end on the same OFDM symbol.</w:t>
      </w:r>
    </w:p>
    <w:p w14:paraId="36F6E979" w14:textId="77777777" w:rsidR="005976D0" w:rsidRDefault="005976D0" w:rsidP="005976D0">
      <w:pPr>
        <w:pStyle w:val="Heading1"/>
      </w:pPr>
      <w:r>
        <w:lastRenderedPageBreak/>
        <w:t>Pre-emption of ULGF and UE processing time</w:t>
      </w:r>
    </w:p>
    <w:p w14:paraId="39679A21" w14:textId="7CC021BC" w:rsidR="005976D0" w:rsidRDefault="005976D0" w:rsidP="005976D0">
      <w:r>
        <w:t>In a previous meeting, the agreements were updated to allow UL grant free transmissions with repetition to be terminated by a dynamic grant with the same HARQ ID, and then subsequently the specification was revised to account for the processing time needed to address the start of termination for the repetitions</w:t>
      </w:r>
      <w:r w:rsidR="008D05B8">
        <w:t xml:space="preserve"> (otherwise there would be infeasible expectation by the network</w:t>
      </w:r>
      <w:r w:rsidR="00F4396F">
        <w:t xml:space="preserve"> on the action time of the UE</w:t>
      </w:r>
      <w:r w:rsidR="008D05B8">
        <w:t>)</w:t>
      </w:r>
      <w:r w:rsidR="00F4396F">
        <w:t>.</w:t>
      </w:r>
    </w:p>
    <w:p w14:paraId="5690AF4A" w14:textId="7002DC1E" w:rsidR="005976D0" w:rsidRDefault="005976D0" w:rsidP="005976D0">
      <w:r>
        <w:t xml:space="preserve">One related aspect not explicitly addressed </w:t>
      </w:r>
      <w:r w:rsidR="00B464E1">
        <w:t>by specification was</w:t>
      </w:r>
      <w:r>
        <w:t xml:space="preserve"> highlighted as an issue in CR [</w:t>
      </w:r>
      <w:r w:rsidR="000474F1">
        <w:t>4</w:t>
      </w:r>
      <w:r>
        <w:t>, R1-1902894]</w:t>
      </w:r>
      <w:r w:rsidR="00F4396F">
        <w:t xml:space="preserve"> and </w:t>
      </w:r>
      <w:r w:rsidR="00C055E3">
        <w:t>[6, R1-1903031]</w:t>
      </w:r>
      <w:r w:rsidR="00B464E1">
        <w:t xml:space="preserve">. </w:t>
      </w:r>
      <w:r>
        <w:t>Specifically, prior to an uplink grant free occasion, the network may schedule a dynamic grant overlapping with that occasion. However, the timeline associated with this (relative to the uplink grant free occasion) is not explicit</w:t>
      </w:r>
      <w:r w:rsidR="006E3B14">
        <w:t>ly defined</w:t>
      </w:r>
      <w:r>
        <w:t xml:space="preserve">, </w:t>
      </w:r>
      <w:r w:rsidR="00C055E3">
        <w:t>but it is</w:t>
      </w:r>
      <w:r>
        <w:t xml:space="preserve"> understood to be the same as the PUSCH preparation time</w:t>
      </w:r>
      <w:r w:rsidR="00C055E3">
        <w:t xml:space="preserve"> (consistent with many other previous agreements and specification subclauses)</w:t>
      </w:r>
      <w:r>
        <w:t>—that is, the network should not expect to dynamically schedule PUSCH overlapping with an uplink grant free occasion unless the grant for this comes at least N2 symbols (corresponding to PUSCH preparation time</w:t>
      </w:r>
      <w:r w:rsidR="00DE7EE9">
        <w:t xml:space="preserve"> in 38.214 subclause </w:t>
      </w:r>
      <w:r w:rsidR="001A764E">
        <w:t>6.4</w:t>
      </w:r>
      <w:r>
        <w:t>) before the start of the uplink grant free occasion.</w:t>
      </w:r>
      <w:r w:rsidR="00C055E3">
        <w:t xml:space="preserve"> This is captured in the figure below from [6].</w:t>
      </w:r>
    </w:p>
    <w:p w14:paraId="78CE8528" w14:textId="77777777" w:rsidR="00C055E3" w:rsidRDefault="00C055E3" w:rsidP="00C055E3">
      <w:pPr>
        <w:pStyle w:val="CRCoverPage"/>
        <w:spacing w:after="0"/>
        <w:jc w:val="center"/>
        <w:rPr>
          <w:noProof/>
          <w:lang w:val="en-US"/>
        </w:rPr>
      </w:pPr>
      <w:r>
        <w:rPr>
          <w:noProof/>
          <w:lang w:val="en-US"/>
        </w:rPr>
        <w:drawing>
          <wp:inline distT="0" distB="0" distL="0" distR="0" wp14:anchorId="4FA7B637" wp14:editId="700647BA">
            <wp:extent cx="1559529" cy="1043084"/>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4682" cy="1053219"/>
                    </a:xfrm>
                    <a:prstGeom prst="rect">
                      <a:avLst/>
                    </a:prstGeom>
                    <a:noFill/>
                  </pic:spPr>
                </pic:pic>
              </a:graphicData>
            </a:graphic>
          </wp:inline>
        </w:drawing>
      </w:r>
    </w:p>
    <w:p w14:paraId="25D74CBD" w14:textId="7BB7BE09" w:rsidR="00C055E3" w:rsidRPr="00C055E3" w:rsidRDefault="00C055E3" w:rsidP="00C055E3">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sidR="007C266E">
        <w:rPr>
          <w:rFonts w:ascii="Times New Roman" w:eastAsia="SimSun" w:hAnsi="Times New Roman"/>
          <w:b/>
        </w:rPr>
        <w:t>5</w:t>
      </w:r>
      <w:r w:rsidRPr="00C055E3">
        <w:rPr>
          <w:rFonts w:ascii="Times New Roman" w:eastAsia="SimSun" w:hAnsi="Times New Roman"/>
          <w:b/>
        </w:rPr>
        <w:t xml:space="preserve">. Case (a) dynamic grant scheduling a PUSCH overlapping </w:t>
      </w:r>
      <w:r w:rsidR="007C266E">
        <w:rPr>
          <w:rFonts w:ascii="Times New Roman" w:eastAsia="SimSun" w:hAnsi="Times New Roman"/>
          <w:b/>
        </w:rPr>
        <w:br/>
      </w:r>
      <w:r w:rsidRPr="00C055E3">
        <w:rPr>
          <w:rFonts w:ascii="Times New Roman" w:eastAsia="SimSun" w:hAnsi="Times New Roman"/>
          <w:b/>
        </w:rPr>
        <w:t>with a configured grant transmission occasion</w:t>
      </w:r>
      <w:r w:rsidR="007C266E">
        <w:rPr>
          <w:rFonts w:ascii="Times New Roman" w:eastAsia="SimSun" w:hAnsi="Times New Roman"/>
          <w:b/>
        </w:rPr>
        <w:t xml:space="preserve"> (from [6])</w:t>
      </w:r>
    </w:p>
    <w:p w14:paraId="0E9EAFE4" w14:textId="77777777" w:rsidR="00C055E3" w:rsidRDefault="00C055E3" w:rsidP="005976D0"/>
    <w:p w14:paraId="541A0CD6" w14:textId="1FDFD95A" w:rsidR="00C055E3" w:rsidRDefault="00C055E3" w:rsidP="005976D0">
      <w:r>
        <w:t>Another related aspect was highlighted in CR [6, R1-1903031], whereby a dynamic</w:t>
      </w:r>
      <w:r w:rsidR="001A764E">
        <w:t xml:space="preserve"> </w:t>
      </w:r>
      <w:r>
        <w:t>grant</w:t>
      </w:r>
      <w:r w:rsidR="00F82E9F">
        <w:t xml:space="preserve"> for</w:t>
      </w:r>
      <w:r>
        <w:t xml:space="preserve"> re-transmission of a previously transmitted UL GF PUSCH might </w:t>
      </w:r>
      <w:r w:rsidR="00F82E9F">
        <w:t xml:space="preserve">by received by the UE while it has started </w:t>
      </w:r>
      <w:r>
        <w:t xml:space="preserve">preparation for a new TB </w:t>
      </w:r>
      <w:r w:rsidR="001A764E">
        <w:t>for an</w:t>
      </w:r>
      <w:r>
        <w:t xml:space="preserve"> upcoming </w:t>
      </w:r>
      <w:r w:rsidR="00F82E9F">
        <w:t>ULGF</w:t>
      </w:r>
      <w:r>
        <w:t xml:space="preserve"> occasion. In such a case, </w:t>
      </w:r>
      <w:r w:rsidR="00F82E9F">
        <w:t>there can be again an infeasible expectation of UE processing time for which the new TB is cancelled since the configured grant timer is extended by the dynamic grant for re-transmission. This is captured in the figure below from [6].</w:t>
      </w:r>
    </w:p>
    <w:p w14:paraId="12EC4AB4" w14:textId="77777777" w:rsidR="007C266E" w:rsidRDefault="007C266E" w:rsidP="007C266E">
      <w:pPr>
        <w:pStyle w:val="CRCoverPage"/>
        <w:spacing w:after="0"/>
        <w:jc w:val="center"/>
        <w:rPr>
          <w:noProof/>
          <w:lang w:eastAsia="zh-CN"/>
        </w:rPr>
      </w:pPr>
      <w:r>
        <w:rPr>
          <w:noProof/>
          <w:lang w:val="en-US"/>
        </w:rPr>
        <w:drawing>
          <wp:inline distT="0" distB="0" distL="0" distR="0" wp14:anchorId="4A06DDF8" wp14:editId="047E3D47">
            <wp:extent cx="3343046" cy="151627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4135" cy="1525840"/>
                    </a:xfrm>
                    <a:prstGeom prst="rect">
                      <a:avLst/>
                    </a:prstGeom>
                    <a:noFill/>
                  </pic:spPr>
                </pic:pic>
              </a:graphicData>
            </a:graphic>
          </wp:inline>
        </w:drawing>
      </w:r>
    </w:p>
    <w:p w14:paraId="0DFA9D68" w14:textId="77777777" w:rsidR="007C266E" w:rsidRPr="000C00AB" w:rsidRDefault="007C266E" w:rsidP="007C266E">
      <w:pPr>
        <w:pStyle w:val="CRCoverPage"/>
        <w:spacing w:after="0"/>
        <w:jc w:val="center"/>
        <w:rPr>
          <w:noProof/>
        </w:rPr>
      </w:pPr>
    </w:p>
    <w:p w14:paraId="6275533B" w14:textId="2394DF04" w:rsidR="007C266E" w:rsidRPr="007C266E" w:rsidRDefault="007C266E" w:rsidP="007C266E">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Pr>
          <w:rFonts w:ascii="Times New Roman" w:eastAsia="SimSun" w:hAnsi="Times New Roman"/>
          <w:b/>
        </w:rPr>
        <w:t>6</w:t>
      </w:r>
      <w:r w:rsidRPr="00C055E3">
        <w:rPr>
          <w:rFonts w:ascii="Times New Roman" w:eastAsia="SimSun" w:hAnsi="Times New Roman"/>
          <w:b/>
        </w:rPr>
        <w:t>.</w:t>
      </w:r>
      <w:r>
        <w:rPr>
          <w:rFonts w:ascii="Times New Roman" w:eastAsia="SimSun" w:hAnsi="Times New Roman"/>
          <w:b/>
        </w:rPr>
        <w:t xml:space="preserve"> </w:t>
      </w:r>
      <w:r w:rsidRPr="007C266E">
        <w:rPr>
          <w:rFonts w:ascii="Times New Roman" w:eastAsia="SimSun" w:hAnsi="Times New Roman"/>
          <w:b/>
        </w:rPr>
        <w:t xml:space="preserve">Case (b) A dynamic grant restarts the ConfiguredGrantTimer </w:t>
      </w:r>
      <w:r>
        <w:rPr>
          <w:rFonts w:ascii="Times New Roman" w:eastAsia="SimSun" w:hAnsi="Times New Roman"/>
          <w:b/>
        </w:rPr>
        <w:br/>
      </w:r>
      <w:r w:rsidRPr="007C266E">
        <w:rPr>
          <w:rFonts w:ascii="Times New Roman" w:eastAsia="SimSun" w:hAnsi="Times New Roman"/>
          <w:b/>
        </w:rPr>
        <w:t>for a HARQ process corresponding to a configured grant transmission occasion</w:t>
      </w:r>
      <w:r>
        <w:rPr>
          <w:rFonts w:ascii="Times New Roman" w:eastAsia="SimSun" w:hAnsi="Times New Roman"/>
          <w:b/>
        </w:rPr>
        <w:t xml:space="preserve"> (from [6])</w:t>
      </w:r>
    </w:p>
    <w:p w14:paraId="41451967" w14:textId="77777777" w:rsidR="007C266E" w:rsidRDefault="007C266E" w:rsidP="005976D0"/>
    <w:p w14:paraId="07A198C8" w14:textId="2A6689F7" w:rsidR="005976D0" w:rsidRDefault="005976D0" w:rsidP="005976D0">
      <w:r>
        <w:t>Note that the specification change suggested by [</w:t>
      </w:r>
      <w:r w:rsidR="00F5650E">
        <w:t>4, R1-1902894</w:t>
      </w:r>
      <w:r>
        <w:t>] is not sufficient, because it has further implication of terminating an existing repetition even with a HARQ ID which is different than that of the grant free repetition</w:t>
      </w:r>
      <w:r w:rsidR="007C266E">
        <w:t>, and does not address the 2</w:t>
      </w:r>
      <w:r w:rsidR="007C266E" w:rsidRPr="007C266E">
        <w:rPr>
          <w:vertAlign w:val="superscript"/>
        </w:rPr>
        <w:t>nd</w:t>
      </w:r>
      <w:r w:rsidR="007C266E">
        <w:t xml:space="preserve"> issue raised above. The text provided from [6] addresses these issues more </w:t>
      </w:r>
      <w:r w:rsidR="006E3B14">
        <w:t>directly</w:t>
      </w:r>
      <w:r w:rsidR="007C266E">
        <w:t>.</w:t>
      </w:r>
    </w:p>
    <w:p w14:paraId="0135C969" w14:textId="1C8C60AC" w:rsidR="005976D0" w:rsidRDefault="005976D0" w:rsidP="00AE6F0F">
      <w:pPr>
        <w:rPr>
          <w:i/>
        </w:rPr>
      </w:pPr>
      <w:r w:rsidRPr="008B6C41">
        <w:rPr>
          <w:b/>
          <w:highlight w:val="yellow"/>
          <w:u w:val="single"/>
        </w:rPr>
        <w:t>Proposal:</w:t>
      </w:r>
      <w:r w:rsidRPr="0000149D">
        <w:t xml:space="preserve"> </w:t>
      </w:r>
      <w:r w:rsidR="00AE6F0F">
        <w:rPr>
          <w:i/>
        </w:rPr>
        <w:t>Adopt the CR in</w:t>
      </w:r>
      <w:r w:rsidR="00AE6F0F" w:rsidRPr="00640840">
        <w:rPr>
          <w:i/>
        </w:rPr>
        <w:t xml:space="preserve"> [</w:t>
      </w:r>
      <w:r w:rsidR="00640840" w:rsidRPr="00640840">
        <w:rPr>
          <w:i/>
        </w:rPr>
        <w:t>6, R1-1903031</w:t>
      </w:r>
      <w:r w:rsidR="00AE6F0F" w:rsidRPr="00640840">
        <w:rPr>
          <w:i/>
        </w:rPr>
        <w:t>]</w:t>
      </w:r>
      <w:r w:rsidR="00AE6F0F">
        <w:rPr>
          <w:i/>
        </w:rPr>
        <w:t xml:space="preserve"> </w:t>
      </w:r>
      <w:r w:rsidR="001A764E">
        <w:rPr>
          <w:i/>
        </w:rPr>
        <w:t>(and do not adopt</w:t>
      </w:r>
      <w:r w:rsidR="00385E50">
        <w:rPr>
          <w:i/>
        </w:rPr>
        <w:t xml:space="preserve"> </w:t>
      </w:r>
      <w:r w:rsidR="001A764E">
        <w:rPr>
          <w:i/>
        </w:rPr>
        <w:t xml:space="preserve">CR </w:t>
      </w:r>
      <w:r w:rsidR="000474F1" w:rsidRPr="000474F1">
        <w:rPr>
          <w:i/>
        </w:rPr>
        <w:t>[4, R1-1902894]</w:t>
      </w:r>
      <w:r w:rsidR="001A764E">
        <w:rPr>
          <w:i/>
        </w:rPr>
        <w:t xml:space="preserve">) </w:t>
      </w:r>
      <w:r w:rsidR="00AE6F0F">
        <w:rPr>
          <w:i/>
        </w:rPr>
        <w:t xml:space="preserve">to address </w:t>
      </w:r>
      <w:r w:rsidR="00387BE5">
        <w:rPr>
          <w:i/>
        </w:rPr>
        <w:t>remaining</w:t>
      </w:r>
      <w:r w:rsidR="00AE6F0F">
        <w:rPr>
          <w:i/>
        </w:rPr>
        <w:t xml:space="preserve"> undefined</w:t>
      </w:r>
      <w:r w:rsidR="00663F90">
        <w:rPr>
          <w:i/>
        </w:rPr>
        <w:t xml:space="preserve"> UE</w:t>
      </w:r>
      <w:r w:rsidR="00AE6F0F">
        <w:rPr>
          <w:i/>
        </w:rPr>
        <w:t xml:space="preserve"> processing times between uplink grant free transmission and dynamic grant transmissions</w:t>
      </w:r>
      <w:r w:rsidR="00385E50">
        <w:rPr>
          <w:i/>
        </w:rPr>
        <w:t>, as raised by [</w:t>
      </w:r>
      <w:r w:rsidR="000474F1">
        <w:rPr>
          <w:i/>
        </w:rPr>
        <w:t>4</w:t>
      </w:r>
      <w:r w:rsidR="00385E50">
        <w:rPr>
          <w:i/>
        </w:rPr>
        <w:t>] and [6].</w:t>
      </w:r>
    </w:p>
    <w:p w14:paraId="2CA9C7E1" w14:textId="77777777" w:rsidR="005976D0" w:rsidRDefault="005976D0" w:rsidP="005976D0">
      <w:pPr>
        <w:pStyle w:val="Heading1"/>
      </w:pPr>
      <w:r>
        <w:lastRenderedPageBreak/>
        <w:t>Rx-to-Tx Switching Time for Half Duplex</w:t>
      </w:r>
    </w:p>
    <w:p w14:paraId="0865CA13" w14:textId="343CE355" w:rsidR="005976D0" w:rsidRDefault="005976D0" w:rsidP="005976D0">
      <w:pPr>
        <w:rPr>
          <w:lang w:val="en-GB"/>
        </w:rPr>
      </w:pPr>
      <w:r>
        <w:rPr>
          <w:lang w:val="en-GB"/>
        </w:rPr>
        <w:t xml:space="preserve">In previous meetings, the Rx-to-Tx switching time was discussed under this agenda since it was closely related to </w:t>
      </w:r>
      <w:r w:rsidR="00385E50">
        <w:rPr>
          <w:lang w:val="en-GB"/>
        </w:rPr>
        <w:t xml:space="preserve">the definitions for </w:t>
      </w:r>
      <w:r>
        <w:rPr>
          <w:lang w:val="en-GB"/>
        </w:rPr>
        <w:t>UE processing times N1 and N2. Some text was provided in 38.211 to address this, however [</w:t>
      </w:r>
      <w:r w:rsidR="00F510D0">
        <w:rPr>
          <w:lang w:val="en-GB"/>
        </w:rPr>
        <w:t>5</w:t>
      </w:r>
      <w:r>
        <w:rPr>
          <w:lang w:val="en-GB"/>
        </w:rPr>
        <w:t xml:space="preserve">, </w:t>
      </w:r>
      <w:r w:rsidRPr="00F31488">
        <w:rPr>
          <w:lang w:val="en-GB"/>
        </w:rPr>
        <w:t>R1-1903160</w:t>
      </w:r>
      <w:r>
        <w:rPr>
          <w:lang w:val="en-GB"/>
        </w:rPr>
        <w:t xml:space="preserve">] mentions that this text should be further clarified to be consistent with the UE </w:t>
      </w:r>
      <w:r w:rsidRPr="00352C13">
        <w:rPr>
          <w:i/>
          <w:lang w:val="en-GB"/>
        </w:rPr>
        <w:t>simultaneousRxTxInterBandCA</w:t>
      </w:r>
      <w:r w:rsidRPr="00352C13">
        <w:rPr>
          <w:lang w:val="en-GB"/>
        </w:rPr>
        <w:t xml:space="preserve"> </w:t>
      </w:r>
      <w:r>
        <w:rPr>
          <w:lang w:val="en-GB"/>
        </w:rPr>
        <w:t xml:space="preserve">defined for half duplex across cells, rather than generically saying </w:t>
      </w:r>
      <w:r w:rsidR="00D67DA1">
        <w:rPr>
          <w:lang w:val="en-GB"/>
        </w:rPr>
        <w:t>“</w:t>
      </w:r>
      <w:r>
        <w:rPr>
          <w:lang w:val="en-GB"/>
        </w:rPr>
        <w:t>some group of cells</w:t>
      </w:r>
      <w:r w:rsidR="00D67DA1">
        <w:rPr>
          <w:lang w:val="en-GB"/>
        </w:rPr>
        <w:t>”</w:t>
      </w:r>
      <w:r>
        <w:rPr>
          <w:lang w:val="en-GB"/>
        </w:rPr>
        <w:t>. Although the specification text can be resolved when reading across 38.211 and 38.306 and 38.331, since this does not change the functionality of the specification such a CR could be adopted</w:t>
      </w:r>
      <w:r w:rsidR="00D67DA1">
        <w:rPr>
          <w:lang w:val="en-GB"/>
        </w:rPr>
        <w:t xml:space="preserve"> as a clarification.</w:t>
      </w:r>
      <w:r w:rsidR="00F11CA0">
        <w:rPr>
          <w:lang w:val="en-GB"/>
        </w:rPr>
        <w:t xml:space="preserve"> It should be discussed offline whether this is deemed critical</w:t>
      </w:r>
      <w:r w:rsidR="00425238">
        <w:rPr>
          <w:lang w:val="en-GB"/>
        </w:rPr>
        <w:t>.</w:t>
      </w:r>
    </w:p>
    <w:p w14:paraId="4405EB62" w14:textId="22C45BFE" w:rsidR="005976D0" w:rsidRDefault="005976D0" w:rsidP="005976D0">
      <w:pPr>
        <w:rPr>
          <w:lang w:val="en-GB"/>
        </w:rPr>
      </w:pPr>
      <w:r w:rsidRPr="008B6C41">
        <w:rPr>
          <w:b/>
          <w:highlight w:val="yellow"/>
          <w:u w:val="single"/>
          <w:lang w:val="en-GB"/>
        </w:rPr>
        <w:t>Proposal:</w:t>
      </w:r>
      <w:r>
        <w:rPr>
          <w:b/>
          <w:lang w:val="en-GB"/>
        </w:rPr>
        <w:t xml:space="preserve"> </w:t>
      </w:r>
      <w:r w:rsidRPr="00F146AF">
        <w:rPr>
          <w:i/>
          <w:lang w:val="en-GB"/>
        </w:rPr>
        <w:t xml:space="preserve">Discuss adoption of </w:t>
      </w:r>
      <w:r w:rsidRPr="00CF021E">
        <w:rPr>
          <w:i/>
          <w:lang w:val="en-GB"/>
        </w:rPr>
        <w:t>CR in [</w:t>
      </w:r>
      <w:r w:rsidR="00640840" w:rsidRPr="00CF021E">
        <w:rPr>
          <w:i/>
          <w:lang w:val="en-GB"/>
        </w:rPr>
        <w:t>5, R1-1903160</w:t>
      </w:r>
      <w:r w:rsidRPr="00CF021E">
        <w:rPr>
          <w:i/>
          <w:lang w:val="en-GB"/>
        </w:rPr>
        <w:t xml:space="preserve">] </w:t>
      </w:r>
      <w:r w:rsidRPr="00F146AF">
        <w:rPr>
          <w:i/>
          <w:lang w:val="en-GB"/>
        </w:rPr>
        <w:t>as a clarification with no functional change to specifications.</w:t>
      </w:r>
    </w:p>
    <w:p w14:paraId="1C0D7B0C" w14:textId="77777777" w:rsidR="005976D0" w:rsidRPr="009947A1" w:rsidRDefault="005976D0" w:rsidP="005976D0">
      <w:pPr>
        <w:pStyle w:val="Heading1"/>
      </w:pPr>
      <w:r w:rsidRPr="009947A1">
        <w:t>Out-of-order PUSCH with A-CSI and no UL-SCH</w:t>
      </w:r>
    </w:p>
    <w:p w14:paraId="56115504" w14:textId="79B9E068" w:rsidR="005976D0" w:rsidRDefault="005976D0" w:rsidP="005976D0">
      <w:pPr>
        <w:pStyle w:val="3GPPNormalText"/>
      </w:pPr>
      <w:r>
        <w:t>In [</w:t>
      </w:r>
      <w:r w:rsidR="00A142FB">
        <w:t>3</w:t>
      </w:r>
      <w:r>
        <w:t xml:space="preserve">, </w:t>
      </w:r>
      <w:r w:rsidRPr="00F31488">
        <w:t>R1-1902572</w:t>
      </w:r>
      <w:r>
        <w:t>], the out-of-order restriction across different HARQ processes on PUSCH given in subclause 6.1 of 38.214 precludes data being scheduled out-of-order relative to the order of the uplink grants. It should already be clear from the text that this refers to data, since there is explicit mention of HARQ processes, and such a clarification is not necessary.</w:t>
      </w:r>
    </w:p>
    <w:p w14:paraId="6AE2F3A9" w14:textId="77777777" w:rsidR="00FA1D67" w:rsidRDefault="00FA1D67" w:rsidP="005976D0">
      <w:pPr>
        <w:pStyle w:val="3GPPNormalText"/>
      </w:pPr>
    </w:p>
    <w:p w14:paraId="3A57FCAD" w14:textId="411373A8" w:rsidR="005976D0" w:rsidRDefault="005976D0" w:rsidP="005976D0">
      <w:pPr>
        <w:pStyle w:val="3GPPNormalText"/>
        <w:rPr>
          <w:i/>
        </w:rPr>
      </w:pPr>
      <w:r w:rsidRPr="008B6C41">
        <w:rPr>
          <w:b/>
          <w:highlight w:val="yellow"/>
          <w:u w:val="single"/>
        </w:rPr>
        <w:t>Proposal:</w:t>
      </w:r>
      <w:r w:rsidRPr="00EA32F7">
        <w:t xml:space="preserve"> </w:t>
      </w:r>
      <w:r w:rsidRPr="008B6C41">
        <w:rPr>
          <w:i/>
        </w:rPr>
        <w:t xml:space="preserve">Do not adopt CR in </w:t>
      </w:r>
      <w:r w:rsidR="00640840" w:rsidRPr="00640840">
        <w:rPr>
          <w:i/>
        </w:rPr>
        <w:t>[3,</w:t>
      </w:r>
      <w:r w:rsidR="00E2542D">
        <w:rPr>
          <w:i/>
        </w:rPr>
        <w:t xml:space="preserve"> </w:t>
      </w:r>
      <w:r w:rsidR="00640840" w:rsidRPr="00640840">
        <w:rPr>
          <w:i/>
        </w:rPr>
        <w:t>R1-1902572]</w:t>
      </w:r>
      <w:r w:rsidRPr="008B6C41">
        <w:rPr>
          <w:i/>
        </w:rPr>
        <w:t xml:space="preserve"> since out-of-order restriction for PUSCH already addresses data transmissions on PUSCH by reference to their HARQ process IDs.</w:t>
      </w:r>
    </w:p>
    <w:p w14:paraId="642EF191" w14:textId="0D29BAA3" w:rsidR="000E27BB" w:rsidRDefault="000E27BB" w:rsidP="000E27BB">
      <w:pPr>
        <w:pStyle w:val="Heading1"/>
      </w:pPr>
      <w:r>
        <w:t>Capability #2 Parameter Naming</w:t>
      </w:r>
    </w:p>
    <w:p w14:paraId="14E9A6A1" w14:textId="696813FC" w:rsidR="000E27BB" w:rsidRDefault="000E27BB" w:rsidP="000E27BB">
      <w:pPr>
        <w:rPr>
          <w:noProof/>
          <w:lang w:eastAsia="zh-CN"/>
        </w:rPr>
      </w:pPr>
      <w:r>
        <w:rPr>
          <w:lang w:val="en-GB"/>
        </w:rPr>
        <w:t xml:space="preserve">In [8, </w:t>
      </w:r>
      <w:r>
        <w:rPr>
          <w:noProof/>
        </w:rPr>
        <w:t xml:space="preserve">R1-1902976], it was noted that there is a difference in parameter naming between 38.331 and 38.214 regarding the semistatic configuration of capability #2 processing time. The parameter naming can be corrected to match the specifications, and there should be no functional changes since it is clear that </w:t>
      </w:r>
      <w:r w:rsidRPr="00E525EC">
        <w:rPr>
          <w:i/>
          <w:noProof/>
          <w:lang w:eastAsia="zh-CN"/>
        </w:rPr>
        <w:t>processingType2Enabled</w:t>
      </w:r>
      <w:r>
        <w:rPr>
          <w:i/>
          <w:noProof/>
          <w:lang w:eastAsia="zh-CN"/>
        </w:rPr>
        <w:t xml:space="preserve"> </w:t>
      </w:r>
      <w:r>
        <w:rPr>
          <w:noProof/>
          <w:lang w:eastAsia="zh-CN"/>
        </w:rPr>
        <w:t xml:space="preserve"> in 38.331 is the parameter intended by </w:t>
      </w:r>
      <w:r w:rsidRPr="00F00DDA">
        <w:rPr>
          <w:i/>
          <w:noProof/>
          <w:lang w:eastAsia="zh-CN"/>
        </w:rPr>
        <w:t>Capability2-PDSCH-Processing</w:t>
      </w:r>
      <w:r>
        <w:rPr>
          <w:noProof/>
          <w:lang w:eastAsia="zh-CN"/>
        </w:rPr>
        <w:t xml:space="preserve"> and </w:t>
      </w:r>
      <w:r w:rsidRPr="00F00DDA">
        <w:rPr>
          <w:i/>
          <w:noProof/>
          <w:lang w:eastAsia="zh-CN"/>
        </w:rPr>
        <w:t>Capability2-PUSCH-Processing</w:t>
      </w:r>
      <w:r>
        <w:rPr>
          <w:noProof/>
          <w:lang w:eastAsia="zh-CN"/>
        </w:rPr>
        <w:t xml:space="preserve"> in 38.214.</w:t>
      </w:r>
    </w:p>
    <w:p w14:paraId="58D3A6DA" w14:textId="51E99649" w:rsidR="0048003E" w:rsidRPr="0048003E" w:rsidRDefault="0048003E" w:rsidP="000E27BB">
      <w:pPr>
        <w:rPr>
          <w:i/>
          <w:lang w:val="en-GB"/>
        </w:rPr>
      </w:pPr>
      <w:r w:rsidRPr="008B6C41">
        <w:rPr>
          <w:b/>
          <w:highlight w:val="yellow"/>
          <w:u w:val="single"/>
        </w:rPr>
        <w:t>Proposal:</w:t>
      </w:r>
      <w:r w:rsidRPr="00EA32F7">
        <w:t xml:space="preserve"> </w:t>
      </w:r>
      <w:r>
        <w:rPr>
          <w:i/>
        </w:rPr>
        <w:t xml:space="preserve">Adopt correction in CR [8,1902976] to </w:t>
      </w:r>
      <w:r w:rsidRPr="00F00DDA">
        <w:rPr>
          <w:i/>
          <w:noProof/>
          <w:lang w:eastAsia="zh-CN"/>
        </w:rPr>
        <w:t>Capability2-PDSCH-Processing</w:t>
      </w:r>
      <w:r>
        <w:rPr>
          <w:i/>
          <w:noProof/>
          <w:lang w:eastAsia="zh-CN"/>
        </w:rPr>
        <w:t xml:space="preserve"> and </w:t>
      </w:r>
      <w:r w:rsidRPr="00F00DDA">
        <w:rPr>
          <w:i/>
          <w:noProof/>
          <w:lang w:eastAsia="zh-CN"/>
        </w:rPr>
        <w:t>Capability2-P</w:t>
      </w:r>
      <w:r>
        <w:rPr>
          <w:i/>
          <w:noProof/>
          <w:lang w:eastAsia="zh-CN"/>
        </w:rPr>
        <w:t>U</w:t>
      </w:r>
      <w:r w:rsidRPr="00F00DDA">
        <w:rPr>
          <w:i/>
          <w:noProof/>
          <w:lang w:eastAsia="zh-CN"/>
        </w:rPr>
        <w:t>SCH-Processing</w:t>
      </w:r>
      <w:r>
        <w:rPr>
          <w:i/>
          <w:noProof/>
          <w:lang w:eastAsia="zh-CN"/>
        </w:rPr>
        <w:t xml:space="preserve"> to align with </w:t>
      </w:r>
      <w:r w:rsidRPr="00E525EC">
        <w:rPr>
          <w:i/>
          <w:noProof/>
          <w:lang w:eastAsia="zh-CN"/>
        </w:rPr>
        <w:t>processingType2Enabled</w:t>
      </w:r>
      <w:r>
        <w:rPr>
          <w:i/>
          <w:noProof/>
          <w:lang w:eastAsia="zh-CN"/>
        </w:rPr>
        <w:t xml:space="preserve"> in 38.331.</w:t>
      </w:r>
    </w:p>
    <w:p w14:paraId="3BF6780C" w14:textId="77777777" w:rsidR="00421F09" w:rsidRPr="008E769D" w:rsidRDefault="00421F09" w:rsidP="00421F09">
      <w:pPr>
        <w:pStyle w:val="Heading1"/>
        <w:rPr>
          <w:lang w:val="en-US"/>
        </w:rPr>
      </w:pPr>
      <w:r w:rsidRPr="008A0964">
        <w:t>References</w:t>
      </w:r>
    </w:p>
    <w:p w14:paraId="394DE77F" w14:textId="58F50B24" w:rsidR="005763A7" w:rsidRDefault="002F2C91" w:rsidP="005F53C0">
      <w:pPr>
        <w:numPr>
          <w:ilvl w:val="0"/>
          <w:numId w:val="2"/>
        </w:numPr>
        <w:spacing w:before="100" w:beforeAutospacing="1" w:after="100" w:afterAutospacing="1"/>
      </w:pPr>
      <w:r w:rsidRPr="002F2C91">
        <w:t>R1-1901624</w:t>
      </w:r>
      <w:r>
        <w:t xml:space="preserve">, </w:t>
      </w:r>
      <w:r w:rsidRPr="002F2C91">
        <w:t>Correction on PDSCH/PUSCH scheduling</w:t>
      </w:r>
      <w:r>
        <w:t xml:space="preserve">, </w:t>
      </w:r>
      <w:r w:rsidRPr="002F2C91">
        <w:t>Huawei, HiSilicon</w:t>
      </w:r>
    </w:p>
    <w:p w14:paraId="4BB940FD" w14:textId="41DED7A9" w:rsidR="002F2C91" w:rsidRDefault="0014451B" w:rsidP="005F53C0">
      <w:pPr>
        <w:numPr>
          <w:ilvl w:val="0"/>
          <w:numId w:val="2"/>
        </w:numPr>
        <w:spacing w:before="100" w:beforeAutospacing="1" w:after="100" w:afterAutospacing="1"/>
      </w:pPr>
      <w:r w:rsidRPr="0014451B">
        <w:t>R1-1901976</w:t>
      </w:r>
      <w:r>
        <w:t xml:space="preserve">, </w:t>
      </w:r>
      <w:r w:rsidRPr="0014451B">
        <w:t>Draft CR on sequential PDSCH and PUSCH scheduling</w:t>
      </w:r>
      <w:r>
        <w:t xml:space="preserve">, </w:t>
      </w:r>
      <w:r w:rsidRPr="0014451B">
        <w:t>CATT</w:t>
      </w:r>
    </w:p>
    <w:p w14:paraId="50B9F215" w14:textId="77777777" w:rsidR="006124B8" w:rsidRDefault="006124B8" w:rsidP="006124B8">
      <w:pPr>
        <w:numPr>
          <w:ilvl w:val="0"/>
          <w:numId w:val="2"/>
        </w:numPr>
        <w:spacing w:before="100" w:beforeAutospacing="1" w:after="100" w:afterAutospacing="1"/>
      </w:pPr>
      <w:r w:rsidRPr="00A711BD">
        <w:t>R1-1902572</w:t>
      </w:r>
      <w:r>
        <w:t xml:space="preserve">, </w:t>
      </w:r>
      <w:r w:rsidRPr="00A711BD">
        <w:t>Correction to out</w:t>
      </w:r>
      <w:r>
        <w:t>-</w:t>
      </w:r>
      <w:r w:rsidRPr="00A711BD">
        <w:t>of</w:t>
      </w:r>
      <w:r>
        <w:t>-</w:t>
      </w:r>
      <w:r w:rsidRPr="00A711BD">
        <w:t>order PUSCH transmissions without UL-SCH</w:t>
      </w:r>
      <w:r>
        <w:t xml:space="preserve">, </w:t>
      </w:r>
      <w:r w:rsidRPr="00A711BD">
        <w:t>Ericsson</w:t>
      </w:r>
    </w:p>
    <w:p w14:paraId="1D0436A1" w14:textId="7A096545" w:rsidR="001B4C03" w:rsidRDefault="001B4C03" w:rsidP="005F53C0">
      <w:pPr>
        <w:numPr>
          <w:ilvl w:val="0"/>
          <w:numId w:val="2"/>
        </w:numPr>
        <w:spacing w:before="100" w:beforeAutospacing="1" w:after="100" w:afterAutospacing="1"/>
      </w:pPr>
      <w:r w:rsidRPr="001B4C03">
        <w:t>R1-1902894</w:t>
      </w:r>
      <w:r>
        <w:t xml:space="preserve">, </w:t>
      </w:r>
      <w:r w:rsidRPr="001B4C03">
        <w:t>Correction for handling of CG PUSCH when colliding with dynamic PUSCH of different HARQ processes</w:t>
      </w:r>
      <w:r>
        <w:t xml:space="preserve">, </w:t>
      </w:r>
      <w:r w:rsidRPr="001B4C03">
        <w:t>Intel Corporation</w:t>
      </w:r>
    </w:p>
    <w:p w14:paraId="5E7D3ED7" w14:textId="6B955926" w:rsidR="006124B8" w:rsidRDefault="006124B8" w:rsidP="006124B8">
      <w:pPr>
        <w:numPr>
          <w:ilvl w:val="0"/>
          <w:numId w:val="2"/>
        </w:numPr>
        <w:spacing w:before="100" w:beforeAutospacing="1" w:after="100" w:afterAutospacing="1"/>
      </w:pPr>
      <w:r w:rsidRPr="00972374">
        <w:t>R1-1903160</w:t>
      </w:r>
      <w:r>
        <w:t xml:space="preserve">, </w:t>
      </w:r>
      <w:r w:rsidRPr="00972374">
        <w:t>Clarification regarding non-full-duplex UE communication</w:t>
      </w:r>
      <w:r>
        <w:t xml:space="preserve">, </w:t>
      </w:r>
      <w:r w:rsidRPr="00972374">
        <w:t>Nanjing Ericsson Panda Com Ltd</w:t>
      </w:r>
    </w:p>
    <w:p w14:paraId="5B8A02A9" w14:textId="56E89632" w:rsidR="00723CC9" w:rsidRDefault="00723CC9" w:rsidP="006124B8">
      <w:pPr>
        <w:numPr>
          <w:ilvl w:val="0"/>
          <w:numId w:val="2"/>
        </w:numPr>
        <w:spacing w:before="100" w:beforeAutospacing="1" w:after="100" w:afterAutospacing="1"/>
      </w:pPr>
      <w:r w:rsidRPr="00723CC9">
        <w:t>R1-1903031</w:t>
      </w:r>
      <w:r>
        <w:t>, Draft CR on guard period for dynamic grant overriding configured grant, Qualcomm, Inc.</w:t>
      </w:r>
    </w:p>
    <w:p w14:paraId="33D6DB53" w14:textId="1F4DA42E" w:rsidR="00E73346" w:rsidRDefault="00E73346" w:rsidP="006124B8">
      <w:pPr>
        <w:numPr>
          <w:ilvl w:val="0"/>
          <w:numId w:val="2"/>
        </w:numPr>
        <w:spacing w:before="100" w:beforeAutospacing="1" w:after="100" w:afterAutospacing="1"/>
      </w:pPr>
      <w:r w:rsidRPr="00E73346">
        <w:t>R1-1814362</w:t>
      </w:r>
      <w:r>
        <w:t xml:space="preserve">, </w:t>
      </w:r>
      <w:r w:rsidRPr="00E73346">
        <w:t>LS on RAN1 NR UE features</w:t>
      </w:r>
      <w:r>
        <w:t>, RAN1 #95, Spokane USA</w:t>
      </w:r>
    </w:p>
    <w:p w14:paraId="00A0345C" w14:textId="4EC11400" w:rsidR="000E27BB" w:rsidRDefault="000E27BB" w:rsidP="000E27BB">
      <w:pPr>
        <w:numPr>
          <w:ilvl w:val="0"/>
          <w:numId w:val="2"/>
        </w:numPr>
        <w:spacing w:before="100" w:beforeAutospacing="1" w:after="100" w:afterAutospacing="1"/>
      </w:pPr>
      <w:r>
        <w:rPr>
          <w:noProof/>
        </w:rPr>
        <w:t>R1-1902976, Draft CR on C</w:t>
      </w:r>
      <w:r w:rsidRPr="00D738E0">
        <w:rPr>
          <w:noProof/>
        </w:rPr>
        <w:t xml:space="preserve">orrection </w:t>
      </w:r>
      <w:r>
        <w:rPr>
          <w:noProof/>
        </w:rPr>
        <w:t>for Capability #2 RRC Parameter Naming, Qualcomm, Inc.</w:t>
      </w:r>
    </w:p>
    <w:p w14:paraId="1CA0C39E" w14:textId="77777777" w:rsidR="006124B8" w:rsidRDefault="006124B8" w:rsidP="006124B8">
      <w:pPr>
        <w:spacing w:before="100" w:beforeAutospacing="1" w:after="100" w:afterAutospacing="1"/>
      </w:pPr>
    </w:p>
    <w:sectPr w:rsidR="006124B8" w:rsidSect="00013353">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C28BA" w14:textId="77777777" w:rsidR="000A7F23" w:rsidRDefault="000A7F23">
      <w:r>
        <w:separator/>
      </w:r>
    </w:p>
  </w:endnote>
  <w:endnote w:type="continuationSeparator" w:id="0">
    <w:p w14:paraId="2C6B9CBD" w14:textId="77777777" w:rsidR="000A7F23" w:rsidRDefault="000A7F23">
      <w:r>
        <w:continuationSeparator/>
      </w:r>
    </w:p>
  </w:endnote>
  <w:endnote w:type="continuationNotice" w:id="1">
    <w:p w14:paraId="49219C62" w14:textId="77777777" w:rsidR="000A7F23" w:rsidRDefault="000A7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51B78" w14:textId="77777777" w:rsidR="000A7F23" w:rsidRDefault="000A7F23">
      <w:r>
        <w:separator/>
      </w:r>
    </w:p>
  </w:footnote>
  <w:footnote w:type="continuationSeparator" w:id="0">
    <w:p w14:paraId="282C24F8" w14:textId="77777777" w:rsidR="000A7F23" w:rsidRDefault="000A7F23">
      <w:r>
        <w:continuationSeparator/>
      </w:r>
    </w:p>
  </w:footnote>
  <w:footnote w:type="continuationNotice" w:id="1">
    <w:p w14:paraId="6094FC59" w14:textId="77777777" w:rsidR="000A7F23" w:rsidRDefault="000A7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AA386B"/>
    <w:multiLevelType w:val="hybridMultilevel"/>
    <w:tmpl w:val="5B625408"/>
    <w:lvl w:ilvl="0" w:tplc="48D2F3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24A1F"/>
    <w:multiLevelType w:val="hybridMultilevel"/>
    <w:tmpl w:val="802E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7"/>
  </w:num>
  <w:num w:numId="6">
    <w:abstractNumId w:val="40"/>
  </w:num>
  <w:num w:numId="7">
    <w:abstractNumId w:val="41"/>
  </w:num>
  <w:num w:numId="8">
    <w:abstractNumId w:val="1"/>
  </w:num>
  <w:num w:numId="9">
    <w:abstractNumId w:val="25"/>
  </w:num>
  <w:num w:numId="10">
    <w:abstractNumId w:val="11"/>
  </w:num>
  <w:num w:numId="11">
    <w:abstractNumId w:val="19"/>
  </w:num>
  <w:num w:numId="12">
    <w:abstractNumId w:val="15"/>
  </w:num>
  <w:num w:numId="13">
    <w:abstractNumId w:val="3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8"/>
  </w:num>
  <w:num w:numId="17">
    <w:abstractNumId w:val="42"/>
  </w:num>
  <w:num w:numId="18">
    <w:abstractNumId w:val="30"/>
  </w:num>
  <w:num w:numId="19">
    <w:abstractNumId w:val="5"/>
  </w:num>
  <w:num w:numId="20">
    <w:abstractNumId w:val="16"/>
  </w:num>
  <w:num w:numId="21">
    <w:abstractNumId w:val="13"/>
  </w:num>
  <w:num w:numId="22">
    <w:abstractNumId w:val="29"/>
  </w:num>
  <w:num w:numId="23">
    <w:abstractNumId w:val="10"/>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3"/>
  </w:num>
  <w:num w:numId="27">
    <w:abstractNumId w:val="17"/>
  </w:num>
  <w:num w:numId="28">
    <w:abstractNumId w:val="33"/>
  </w:num>
  <w:num w:numId="29">
    <w:abstractNumId w:val="23"/>
  </w:num>
  <w:num w:numId="30">
    <w:abstractNumId w:val="5"/>
  </w:num>
  <w:num w:numId="31">
    <w:abstractNumId w:val="27"/>
  </w:num>
  <w:num w:numId="32">
    <w:abstractNumId w:val="32"/>
  </w:num>
  <w:num w:numId="33">
    <w:abstractNumId w:val="24"/>
  </w:num>
  <w:num w:numId="34">
    <w:abstractNumId w:val="20"/>
  </w:num>
  <w:num w:numId="3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6"/>
  </w:num>
  <w:num w:numId="40">
    <w:abstractNumId w:val="35"/>
  </w:num>
  <w:num w:numId="41">
    <w:abstractNumId w:val="7"/>
  </w:num>
  <w:num w:numId="42">
    <w:abstractNumId w:val="36"/>
  </w:num>
  <w:num w:numId="43">
    <w:abstractNumId w:val="22"/>
  </w:num>
  <w:num w:numId="44">
    <w:abstractNumId w:val="4"/>
  </w:num>
  <w:num w:numId="45">
    <w:abstractNumId w:val="21"/>
  </w:num>
  <w:num w:numId="4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A7F23"/>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3A7"/>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BCD"/>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B0A"/>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1E"/>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HR33RHYHUWRF-4-11567</_dlc_DocId>
    <_dlc_DocIdUrl xmlns="c06861ca-3f08-4d07-bff7-bb15bac121f4">
      <Url>https://projects.qualcomm.com/sites/pentari/_layouts/15/DocIdRedir.aspx?ID=HR33RHYHUWRF-4-11567</Url>
      <Description>HR33RHYHUWRF-4-11567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9A4113-D80A-487A-89D8-8705E92D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20</cp:revision>
  <cp:lastPrinted>2017-03-25T00:57:00Z</cp:lastPrinted>
  <dcterms:created xsi:type="dcterms:W3CDTF">2019-02-23T15:09:00Z</dcterms:created>
  <dcterms:modified xsi:type="dcterms:W3CDTF">2019-02-25T07:53:00Z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87d1dc12-3117-4385-85fb-401565a63a39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